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margin" w:tblpY="901"/>
        <w:tblW w:w="835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1100"/>
        <w:gridCol w:w="1736"/>
        <w:gridCol w:w="2693"/>
      </w:tblGrid>
      <w:tr w14:paraId="0AB92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7FCFA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3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248E63">
            <w:pPr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云南省精神病医院家具采购（第二批）项目</w:t>
            </w:r>
            <w:bookmarkStart w:id="0" w:name="_GoBack"/>
            <w:bookmarkEnd w:id="0"/>
          </w:p>
        </w:tc>
        <w:tc>
          <w:tcPr>
            <w:tcW w:w="1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0268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12079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A5977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2D46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3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8C186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07033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D0D0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3089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5495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1B293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ABCD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E9CA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CEAB2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B4665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BC6C98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242D590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2AB993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406C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343E32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EC64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0DB7E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D720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C121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30FDCB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448C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512811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4AAF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F8FB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149C"/>
    <w:rsid w:val="00562C45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13861B80"/>
    <w:rsid w:val="6A4E10C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